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06FD0" w:rsidTr="00D02243">
        <w:trPr>
          <w:trHeight w:val="15134"/>
        </w:trPr>
        <w:tc>
          <w:tcPr>
            <w:tcW w:w="10774" w:type="dxa"/>
          </w:tcPr>
          <w:p w:rsidR="00A97C2B" w:rsidRPr="00FF0BAE" w:rsidRDefault="00FF0BAE" w:rsidP="00FF0BAE">
            <w:pPr>
              <w:pStyle w:val="ConsPlusNormal"/>
              <w:ind w:firstLine="540"/>
              <w:jc w:val="right"/>
              <w:rPr>
                <w:sz w:val="18"/>
                <w:szCs w:val="18"/>
              </w:rPr>
            </w:pPr>
            <w:r w:rsidRPr="00FF0BAE">
              <w:rPr>
                <w:sz w:val="18"/>
                <w:szCs w:val="18"/>
              </w:rPr>
              <w:t>Оказание бесплатной юридической помощи</w:t>
            </w:r>
          </w:p>
          <w:p w:rsidR="00FF0BAE" w:rsidRDefault="00FF0BAE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</w:p>
          <w:p w:rsidR="002E4F3F" w:rsidRDefault="00FF0BAE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СТАТЬЯ: </w:t>
            </w:r>
            <w:r w:rsidR="002B67D5" w:rsidRPr="002B67D5">
              <w:rPr>
                <w:b/>
                <w:sz w:val="40"/>
                <w:szCs w:val="40"/>
              </w:rPr>
              <w:t>ПРАВА ПАЦИЕНТОВ</w:t>
            </w:r>
          </w:p>
          <w:p w:rsidR="00D67C25" w:rsidRDefault="00D67C25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</w:p>
          <w:p w:rsidR="00D67C25" w:rsidRDefault="00D67C25" w:rsidP="00D67C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67C25">
              <w:rPr>
                <w:sz w:val="24"/>
                <w:szCs w:val="24"/>
              </w:rPr>
      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</w:t>
            </w:r>
            <w:r>
              <w:rPr>
                <w:sz w:val="24"/>
                <w:szCs w:val="24"/>
              </w:rPr>
              <w:t xml:space="preserve"> (Статья 2 Конституции Российской Федерации).</w:t>
            </w:r>
          </w:p>
          <w:p w:rsidR="00FF0BAE" w:rsidRDefault="00FF0BAE" w:rsidP="00FF0B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используемые в настоящей статье</w:t>
            </w:r>
          </w:p>
          <w:p w:rsidR="00FF0BAE" w:rsidRPr="00D67C25" w:rsidRDefault="00FF0BAE" w:rsidP="00FF0B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67D5" w:rsidRPr="00FF0BAE" w:rsidRDefault="00D67C25" w:rsidP="00D0224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AE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Пациент</w:t>
            </w:r>
            <w:r w:rsidRPr="00FF0BAE">
              <w:rPr>
                <w:rFonts w:ascii="Times New Roman" w:eastAsiaTheme="minorHAnsi" w:hAnsi="Times New Roman"/>
                <w:sz w:val="24"/>
                <w:szCs w:val="24"/>
              </w:rPr>
      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      </w:r>
          </w:p>
          <w:p w:rsidR="002B67D5" w:rsidRPr="00FF0BAE" w:rsidRDefault="002B67D5" w:rsidP="00D0224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AE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Здоровье</w:t>
            </w:r>
            <w:r w:rsidRPr="00FF0BAE">
              <w:rPr>
                <w:rFonts w:ascii="Times New Roman" w:eastAsiaTheme="minorHAnsi" w:hAnsi="Times New Roman"/>
                <w:sz w:val="24"/>
                <w:szCs w:val="24"/>
              </w:rPr>
      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организма.</w:t>
            </w:r>
          </w:p>
          <w:p w:rsidR="002B67D5" w:rsidRPr="00FF0BAE" w:rsidRDefault="002B67D5" w:rsidP="00D0224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224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Медицинская помощь</w:t>
            </w:r>
            <w:r w:rsidRPr="00D0224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  <w:r w:rsidRPr="00FF0BAE">
              <w:rPr>
                <w:rFonts w:ascii="Times New Roman" w:eastAsiaTheme="minorHAnsi" w:hAnsi="Times New Roman"/>
                <w:sz w:val="24"/>
                <w:szCs w:val="24"/>
              </w:rPr>
              <w:t>- комплекс мероприятий, направленных на поддержание и (или) восстановление здоровья и включающих в себя предоставление медицинских услуг.</w:t>
            </w:r>
          </w:p>
          <w:p w:rsidR="002B67D5" w:rsidRDefault="002B67D5" w:rsidP="00D0224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0224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Медицинская деятельность</w:t>
            </w:r>
            <w:r w:rsidRPr="00FF0BAE">
              <w:rPr>
                <w:rFonts w:ascii="Times New Roman" w:eastAsiaTheme="minorHAnsi" w:hAnsi="Times New Roman"/>
                <w:sz w:val="24"/>
                <w:szCs w:val="24"/>
              </w:rPr>
      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      </w:r>
            <w:proofErr w:type="gramEnd"/>
          </w:p>
          <w:p w:rsidR="00F008C0" w:rsidRPr="00F008C0" w:rsidRDefault="00F008C0" w:rsidP="00F008C0">
            <w:pPr>
              <w:pStyle w:val="ConsPlusNormal"/>
              <w:ind w:left="176" w:right="317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Федеральным</w:t>
            </w:r>
            <w:r w:rsidR="0027150D" w:rsidRPr="0027150D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ом</w:t>
            </w:r>
            <w:r w:rsidR="0027150D" w:rsidRPr="0027150D">
              <w:rPr>
                <w:sz w:val="24"/>
                <w:szCs w:val="24"/>
              </w:rPr>
              <w:t xml:space="preserve"> от 21.11.2011 N 323-ФЗ «Об основах охраны здоровья граждан в Российской Федерации»</w:t>
            </w:r>
            <w:r w:rsidR="0027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закреплены права пациентов.</w:t>
            </w:r>
          </w:p>
          <w:p w:rsidR="0027150D" w:rsidRPr="0027150D" w:rsidRDefault="00D02243" w:rsidP="002715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5CCEE" wp14:editId="1A438BD9">
                  <wp:extent cx="6111617" cy="4927600"/>
                  <wp:effectExtent l="0" t="0" r="3810" b="6350"/>
                  <wp:docPr id="2" name="Рисунок 2" descr="C:\Users\User\Desktop\права пациентов таблиц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ава пациентов таблиц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45" cy="492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0D" w:rsidRDefault="0027150D" w:rsidP="002715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620" w:right="176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27150D" w:rsidRDefault="0027150D" w:rsidP="002715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620" w:right="176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008C0" w:rsidRPr="00F008C0" w:rsidRDefault="00F008C0" w:rsidP="00F008C0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</w:pPr>
            <w:r w:rsidRPr="00F008C0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  <w:lastRenderedPageBreak/>
              <w:t>Комментарий:</w:t>
            </w:r>
          </w:p>
          <w:p w:rsidR="00D02243" w:rsidRPr="0027150D" w:rsidRDefault="0027150D" w:rsidP="002715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620" w:right="176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>1.К</w:t>
            </w:r>
            <w:r w:rsidR="00D02243" w:rsidRPr="0027150D">
              <w:rPr>
                <w:rFonts w:ascii="Times New Roman" w:eastAsiaTheme="minorHAnsi" w:hAnsi="Times New Roman"/>
                <w:b/>
                <w:sz w:val="32"/>
                <w:szCs w:val="32"/>
              </w:rPr>
              <w:t>аждый имеет право на медицинскую помощь.</w:t>
            </w:r>
          </w:p>
          <w:p w:rsidR="00011E9B" w:rsidRPr="00D02243" w:rsidRDefault="00D02243" w:rsidP="0027150D">
            <w:pPr>
              <w:pStyle w:val="ConsPlusNormal"/>
              <w:ind w:left="317" w:right="17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11E9B" w:rsidRPr="00D02243">
              <w:rPr>
                <w:sz w:val="24"/>
                <w:szCs w:val="24"/>
              </w:rPr>
              <w:t xml:space="preserve">Статьей 19 Федерального закона от 21.11.2011 N 323-ФЗ «Об основах охраны здоровья граждан в Российской Федерации»  закреплено право  «Каждый имеет право на медицинскую помощь». </w:t>
            </w:r>
          </w:p>
          <w:p w:rsidR="00011E9B" w:rsidRDefault="00011E9B" w:rsidP="0027150D">
            <w:pPr>
              <w:pStyle w:val="ConsPlusNormal"/>
              <w:ind w:left="317" w:right="176" w:firstLine="540"/>
              <w:jc w:val="both"/>
              <w:rPr>
                <w:sz w:val="24"/>
                <w:szCs w:val="24"/>
              </w:rPr>
            </w:pPr>
            <w:r w:rsidRPr="00F451CB">
              <w:rPr>
                <w:sz w:val="24"/>
                <w:szCs w:val="24"/>
              </w:rPr>
              <w:t xml:space="preserve">Каждый имеет право на медицинскую помощь в гарантированном объеме, оказываемую без взимания платы в соответствии с </w:t>
            </w:r>
            <w:hyperlink r:id="rId8" w:history="1">
              <w:r w:rsidRPr="00F451CB">
                <w:rPr>
                  <w:color w:val="0000FF"/>
                  <w:sz w:val="24"/>
                  <w:szCs w:val="24"/>
                </w:rPr>
                <w:t>программой</w:t>
              </w:r>
            </w:hyperlink>
            <w:r w:rsidRPr="00F451CB">
              <w:rPr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      </w:r>
          </w:p>
          <w:p w:rsidR="00011E9B" w:rsidRPr="00011E9B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451CB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      </w:r>
          </w:p>
          <w:p w:rsidR="00011E9B" w:rsidRPr="0018360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2</w:t>
            </w:r>
            <w:r w:rsid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Право пациента на </w:t>
            </w:r>
            <w:r w:rsidR="00011E9B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выбор врача и выбор медицинской организации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ациент имеет право выбора врача, в том числе семейного и лечащего врача, с учетом его согласия, а также лечебно-профилактического учреждения в соответствии с договорами обязательного и добровольного медицинского страхования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83605" w:rsidRPr="00183605" w:rsidRDefault="00183605" w:rsidP="0027150D">
            <w:pPr>
              <w:pStyle w:val="ConsPlusNormal"/>
              <w:ind w:left="317" w:right="176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21 </w:t>
            </w:r>
            <w:r w:rsidRPr="00011E9B">
              <w:rPr>
                <w:b/>
                <w:sz w:val="24"/>
                <w:szCs w:val="24"/>
              </w:rPr>
              <w:t>Федерального закона от 21.11.2011 N 323-ФЗ «Об основах охраны здоровья граждан в Российской Федерации»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605">
              <w:rPr>
                <w:sz w:val="24"/>
                <w:szCs w:val="24"/>
              </w:rPr>
              <w:t xml:space="preserve">определяет, что при оказании бесплатной медицинской помощи в рамках государственных гарантий каждый гражданин имеет </w:t>
            </w:r>
            <w:r w:rsidRPr="00183605">
              <w:rPr>
                <w:b/>
                <w:bCs/>
                <w:sz w:val="24"/>
                <w:szCs w:val="24"/>
              </w:rPr>
              <w:t>право на выбор медицинской организации и врача</w:t>
            </w:r>
            <w:r w:rsidRPr="00183605">
              <w:rPr>
                <w:sz w:val="24"/>
                <w:szCs w:val="24"/>
              </w:rPr>
              <w:t>. Право на выбор медицинской организации осуществляется в порядке, утвержденном уполномоченным федеральным органом исполнительной власти. Отношения, связанные с выбором медицинской организации по оказанию медицинской помощи, регулируются порядком в рамках программы государственных гарантий бесплатного оказания гражданам медицинской помощи в пределах территории того субъекта РФ, где он проживает. Программа формируется с учетом порядков оказания медицинской помощи и на основ</w:t>
            </w:r>
            <w:r>
              <w:rPr>
                <w:sz w:val="24"/>
                <w:szCs w:val="24"/>
              </w:rPr>
              <w:t>е стандартов медицинской помощи.</w:t>
            </w:r>
          </w:p>
          <w:p w:rsidR="00011E9B" w:rsidRPr="00D02243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</w:t>
            </w:r>
            <w:r w:rsidR="00D02243" w:rsidRP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  <w:r w:rsidRP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Право пациента на </w:t>
            </w:r>
            <w:r w:rsidR="00011E9B" w:rsidRP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профилактику, диагностику, лечение, медицинскую реабилитацию в медицинских организациях в условиях, соответствующих санитарно-гигиеническим </w:t>
            </w:r>
            <w:hyperlink r:id="rId9" w:history="1">
              <w:r w:rsidR="00011E9B" w:rsidRPr="00D02243">
                <w:rPr>
                  <w:rFonts w:ascii="Times New Roman" w:eastAsiaTheme="minorHAnsi" w:hAnsi="Times New Roman"/>
                  <w:b/>
                  <w:color w:val="0000FF"/>
                  <w:sz w:val="28"/>
                  <w:szCs w:val="28"/>
                </w:rPr>
                <w:t>требованиям</w:t>
              </w:r>
            </w:hyperlink>
            <w:r w:rsidRP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  <w:p w:rsidR="00011E9B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 xml:space="preserve">Принцип приоритета профилактических мер в области охраны здоровья граждан служит конституционной гарантией и дублируется во многих законодательных актах, в частности в </w:t>
            </w:r>
            <w:hyperlink r:id="rId10" w:history="1">
              <w:r w:rsidRPr="00011E9B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ФЗ</w:t>
              </w:r>
            </w:hyperlink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 xml:space="preserve"> "О санитарно-эпидемиологи</w:t>
            </w:r>
            <w:r w:rsidR="00D67C25">
              <w:rPr>
                <w:rFonts w:ascii="Times New Roman" w:eastAsiaTheme="minorHAnsi" w:hAnsi="Times New Roman"/>
                <w:sz w:val="24"/>
                <w:szCs w:val="24"/>
              </w:rPr>
              <w:t xml:space="preserve">ческом благополучии населения" </w:t>
            </w: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и в других законах.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Под </w:t>
            </w:r>
            <w:r w:rsidRPr="001836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профилактикой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понимается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влияния</w:t>
            </w:r>
            <w:proofErr w:type="gramEnd"/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на здоровье человека факторов среды его обитания.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Под </w:t>
            </w:r>
            <w:r w:rsidRPr="001836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диагностикой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понимается комплекс медицинских вмешательств, которые направлены на распознавание состояний или установление факта наличия либо отсутствия заболеваний. Факты о наличии или отсутствии заболевания устанавливаются посредством сбора и анализа жалоб пациента, данных его анамнеза и осмотра, проведения лабораторных, инструментальных, </w:t>
            </w:r>
            <w:proofErr w:type="gramStart"/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Лечение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Право пациента реализуется посредством создания в лечебно-профилактическом учреждении условий безопасных с позиции санитарных правил и тех норм, при которых внешние факторы среды обитания не будут создавать угрозу жизни и здоровью человека.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пациента на проведение диагностики здоровья по просьбе пациента или его законного представителя, консилиума и консультаций других специалистов должно быть 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реализовано.</w:t>
            </w:r>
          </w:p>
          <w:p w:rsidR="00183605" w:rsidRPr="002B67D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</w:t>
            </w:r>
            <w:r w:rsid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пациента 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на 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>получение к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>онсультаций врачей-специалистов.</w:t>
            </w:r>
          </w:p>
          <w:p w:rsidR="00011E9B" w:rsidRPr="0018360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 пациента на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облегчение боли, связанной с заболеванием и (или) медицинским вмешательством, доступными методами и лекар</w:t>
            </w:r>
            <w:r w:rsidR="00183605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>ственными препаратами.</w:t>
            </w:r>
          </w:p>
          <w:p w:rsidR="00011E9B" w:rsidRPr="00011E9B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В случае сильных болей, если обычные обезболивающие средства не помогают, врач может в качестве обезболивающих применить наркотические средства. Применить он их может только при сильном или очень сильном остром болевом синдроме или хроническом болевом синдроме. В результате врач должен определить силу болевого синдрома и назначить более эффективное обезболивающее средство. Однако, как показывает практика, борьба с наркотиками привела к тому, что врач может использовать в своей практике в качестве обезболивающего сильно действующие наркотические препараты только после получения разрешения в вышестоящих инстанциях. Врач при использовании наркотических средств должен отчитаться за каждый препарат.</w:t>
            </w:r>
          </w:p>
          <w:p w:rsidR="00011E9B" w:rsidRPr="002B67D5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Пациентам, страдающим хронической болью, смертельно больным пациентам, страдающим острой болью, должна гарантироваться доступность обезболивающих лекарственных средств. Назначение врача и применение обезболивающих лекарственных средств должны быть адекватными и соответствовать состоянию больного с целью эффективного применения на облегчение боли.</w:t>
            </w:r>
          </w:p>
          <w:p w:rsidR="00011E9B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D02243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Право пациента на 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</w:t>
            </w:r>
            <w:r w:rsidR="00011E9B" w:rsidRPr="00183605">
              <w:rPr>
                <w:rFonts w:ascii="Times New Roman" w:eastAsiaTheme="minorHAnsi" w:hAnsi="Times New Roman"/>
                <w:b/>
                <w:sz w:val="28"/>
                <w:szCs w:val="28"/>
              </w:rPr>
              <w:t>рмация о состоянии его здоровья.</w:t>
            </w:r>
          </w:p>
          <w:p w:rsidR="00011E9B" w:rsidRPr="002B67D5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еализация данного права означает добровольное информированное согласие, совершенное по собственному желанию. Следует отметить, что объем информации, который медицинские работники должны дать пациенту для получения его согласия на медицинское вмеш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</w:t>
            </w:r>
            <w:r w:rsidR="00D67C25">
              <w:rPr>
                <w:rFonts w:ascii="Times New Roman" w:eastAsiaTheme="minorHAnsi" w:hAnsi="Times New Roman"/>
                <w:sz w:val="24"/>
                <w:szCs w:val="24"/>
              </w:rPr>
              <w:t xml:space="preserve">ельство, определяется законом. </w:t>
            </w:r>
          </w:p>
          <w:p w:rsidR="00011E9B" w:rsidRPr="00D67C2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  <w:r w:rsidR="00D67C2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 пациента на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получение лечебного питания в случае нахождения пациента на </w:t>
            </w:r>
            <w:r w:rsidR="0018360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лечении в стационарных условиях.</w:t>
            </w:r>
          </w:p>
          <w:p w:rsidR="00183605" w:rsidRPr="002B67D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Пациент имеет право на лечебное питание, именно организация лечебного питания в лечебно-профилактическом учреждении является основным элементом лечебного процесса и входит в число лечебных мероприятий (см. </w:t>
            </w:r>
            <w:hyperlink r:id="rId11" w:history="1">
              <w:r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Минздрава РФ от 5 августа 2003 г. N 330 "О мерах по совершенствованию лечебного питания в лечебно-профилактических учреждениях Российской Федерации").</w:t>
            </w:r>
          </w:p>
          <w:p w:rsidR="00011E9B" w:rsidRPr="00D67C2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="00D67C2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Право пациента на 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защиту сведени</w:t>
            </w:r>
            <w:r w:rsidR="0018360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й, составляющих врачебную тайну.</w:t>
            </w:r>
          </w:p>
          <w:p w:rsid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Информация, содержащаяся в медицинских документах гражданина, составляет </w:t>
            </w:r>
            <w:r w:rsidRPr="00011E9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врачебную тайну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67C25" w:rsidRPr="00D67C25" w:rsidRDefault="00D67C2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      </w:r>
          </w:p>
          <w:p w:rsidR="00D67C25" w:rsidRPr="00D67C25" w:rsidRDefault="00D67C2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      </w:r>
            <w:hyperlink w:anchor="Par2" w:history="1">
              <w:r w:rsidRPr="00D67C2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частями 3</w:t>
              </w:r>
            </w:hyperlink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</w:t>
            </w:r>
            <w:hyperlink r:id="rId12" w:history="1">
              <w:r w:rsidRPr="00D67C2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4</w:t>
              </w:r>
            </w:hyperlink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статьи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13 </w:t>
            </w:r>
            <w:r w:rsidRPr="00011E9B">
              <w:rPr>
                <w:rFonts w:ascii="Times New Roman" w:hAnsi="Times New Roman"/>
                <w:b/>
                <w:sz w:val="24"/>
                <w:szCs w:val="24"/>
              </w:rPr>
              <w:t>Федерального закона от 21.11.2011 N 323-ФЗ «</w:t>
            </w:r>
            <w:r w:rsidRPr="00011E9B">
              <w:rPr>
                <w:rFonts w:ascii="Times New Roman" w:eastAsiaTheme="minorHAnsi" w:hAnsi="Times New Roman"/>
                <w:b/>
                <w:sz w:val="24"/>
                <w:szCs w:val="24"/>
              </w:rPr>
              <w:t>Об основах охраны здоровья</w:t>
            </w:r>
            <w:r w:rsidRPr="00011E9B">
              <w:rPr>
                <w:rFonts w:ascii="Times New Roman" w:hAnsi="Times New Roman"/>
                <w:b/>
                <w:sz w:val="24"/>
                <w:szCs w:val="24"/>
              </w:rPr>
              <w:t xml:space="preserve"> граждан в Российской Федерации»</w:t>
            </w:r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D67C25" w:rsidRPr="002B67D5" w:rsidRDefault="00D67C2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Par2"/>
            <w:bookmarkEnd w:id="0"/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 письменного согласия гражданина или его </w:t>
            </w:r>
            <w:hyperlink r:id="rId13" w:history="1">
              <w:r w:rsidRPr="00D67C25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законного представителя</w:t>
              </w:r>
            </w:hyperlink>
            <w:r w:rsidRPr="00D67C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      </w:r>
          </w:p>
          <w:p w:rsidR="00011E9B" w:rsidRPr="00D67C2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  <w:r w:rsidR="00D67C2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 пациента на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отка</w:t>
            </w:r>
            <w:r w:rsidR="0018360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з от медицинского вмешательства.</w:t>
            </w:r>
          </w:p>
          <w:p w:rsidR="00183605" w:rsidRPr="002B67D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Медицинское вмешательство осуществляется только с </w:t>
            </w:r>
            <w:r w:rsidRPr="001836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письменного согласия пациента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. Гражданин или его законный представитель имеет право отказаться от медицинского вмешательства или потребовать его прекращения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A4E50" w:rsidRPr="00D67C2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  <w:r w:rsidR="00D67C2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 пациента на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возмещение вреда, причиненного здоровью при </w:t>
            </w:r>
            <w:r w:rsidR="0018360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оказании ему медицинской помощи.</w:t>
            </w:r>
          </w:p>
          <w:p w:rsidR="00183605" w:rsidRPr="00183605" w:rsidRDefault="006E3B6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предусматривает право граждан на возмещение ущерба в случае причинения вреда здоровью при оказании ему медицинской помощи, закрепленное в </w:t>
            </w:r>
            <w:hyperlink r:id="rId15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параграфах 2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6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 главы 59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Гражданского Кодекса РФ. Кроме того, имеется ряд статей Федерального закона N 323, где оговариваются варианты действий при нанесении/</w:t>
            </w:r>
            <w:proofErr w:type="spellStart"/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>ненанесении</w:t>
            </w:r>
            <w:proofErr w:type="spellEnd"/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 вреда здоровью: </w:t>
            </w:r>
            <w:hyperlink r:id="rId17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ст. 19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8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23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9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50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20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62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21" w:history="1">
              <w:r w:rsidR="00183605" w:rsidRPr="0018360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79</w:t>
              </w:r>
            </w:hyperlink>
            <w:r w:rsidR="00183605" w:rsidRPr="001836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A4E50" w:rsidRPr="006A4E50" w:rsidRDefault="006A4E50" w:rsidP="0027150D">
            <w:pPr>
              <w:pStyle w:val="ConsPlusNormal"/>
              <w:ind w:left="317" w:right="176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Главой 13 </w:t>
            </w:r>
            <w:r w:rsidRPr="00011E9B">
              <w:rPr>
                <w:b/>
                <w:sz w:val="24"/>
                <w:szCs w:val="24"/>
              </w:rPr>
              <w:t>Федерального закона от 21.11.2011 N 323-ФЗ «Об основах охраны здоровья граждан в Российской Федерации»</w:t>
            </w:r>
            <w:r>
              <w:rPr>
                <w:bCs/>
                <w:sz w:val="24"/>
                <w:szCs w:val="24"/>
              </w:rPr>
              <w:t xml:space="preserve">  определено, </w:t>
            </w:r>
            <w:r w:rsidRPr="006A4E50">
              <w:rPr>
                <w:sz w:val="24"/>
                <w:szCs w:val="24"/>
              </w:rPr>
              <w:t>что за обеспечение реализации гарантий и соблюдение прав и свобод в сфере охраны здоровья несут ответственность органы государственной власти и органы местного самоуправления</w:t>
            </w:r>
            <w:r>
              <w:rPr>
                <w:sz w:val="24"/>
                <w:szCs w:val="24"/>
              </w:rPr>
              <w:t xml:space="preserve"> (статья 98)</w:t>
            </w:r>
            <w:r w:rsidRPr="006A4E50">
              <w:rPr>
                <w:sz w:val="24"/>
                <w:szCs w:val="24"/>
              </w:rPr>
              <w:t>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Вред, причиненный жизни и (или) здоровью граждан при оказании им медицинской помощи, возмещается медицинскими организациями в объеме и порядке, которые установлены законодательством Российской Федерации.</w:t>
            </w:r>
          </w:p>
          <w:p w:rsidR="00183605" w:rsidRPr="0018360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</w:t>
            </w:r>
            <w:r w:rsidR="005673BC">
              <w:rPr>
                <w:rFonts w:ascii="Times New Roman" w:eastAsiaTheme="minorHAnsi" w:hAnsi="Times New Roman"/>
                <w:sz w:val="24"/>
                <w:szCs w:val="24"/>
              </w:rPr>
              <w:t>ательством Российской Федерации</w:t>
            </w: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Если в случае оказания медицинской помощи гражданину причинен </w:t>
            </w:r>
            <w:r w:rsidRPr="006A4E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вред жизни или здоровью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, наступает гражданская, административная, а в некоторых ситуациях при наличии вины медицинского работника - уголовная ответственность.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Противоправность действия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(бездействия) медицинских учреждений (работников) - это нарушение нормы закона или иного нормативного акта (приказов, инструкций), регулирующих медицинскую деятельность, или условий договора.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Следует рассмотреть </w:t>
            </w:r>
            <w:r w:rsidRPr="006A4E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виды уголовной ответственности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, к которой на сегодняшний день могут быть привлечены медицинские работники и фармацевтические работники.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Уголовная ответственность наступает в следующих случаях: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причинение смерти по неосторожности (</w:t>
            </w:r>
            <w:hyperlink r:id="rId22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ч. 2 ст. 109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РФ);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причинение тяжкого вреда здоровью вследствие ненадлежащего исполнения своих профессиональных обязанностей (</w:t>
            </w:r>
            <w:hyperlink r:id="rId23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ч. 2 ст. 118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РФ);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заражение ВИЧ-инфекцией (</w:t>
            </w:r>
            <w:hyperlink r:id="rId24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122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РФ);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незаконное производство аборта (</w:t>
            </w:r>
            <w:hyperlink r:id="rId25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123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РФ);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неоказание помощи больному (</w:t>
            </w:r>
            <w:hyperlink r:id="rId26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124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РФ);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- за незаконное занятие частной медицинской практикой или частной фармацевтической деятельностью (</w:t>
            </w:r>
            <w:hyperlink r:id="rId27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235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УК РФ).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Согласно </w:t>
            </w:r>
            <w:hyperlink r:id="rId28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1 ст. 401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 лицо, не исполнившее обязательство либо исполнившее его ненадлежащим образом, несет ответственность за вину. Нормой этой же </w:t>
            </w:r>
            <w:hyperlink r:id="rId29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статьи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определены условия, при которых вина отсутствует: если при той степени заботливости и осмотрительности, какая требовалась по характеру обязательства и требованиям правовых норм, лицо приняло все меры для надлежащего исполнения обязательств.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возмещения материального ущерба и морального вреда, нанесенного пациенту во время оказания ему некачественной медицинской помощи, закреплено </w:t>
            </w:r>
            <w:hyperlink r:id="rId30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ст. 1064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31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1101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РФ; </w:t>
            </w:r>
            <w:hyperlink r:id="rId32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ст. 14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33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17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РФ "О защите прав потребителей".</w:t>
            </w:r>
          </w:p>
          <w:p w:rsidR="005673BC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Вред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это всякое умаление какого-либо блага или охраняемого законом интереса. Вред делят на имущественный (материальный, включая физический вред) и моральный. 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Убытки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это денежная оценка причиненного вреда. В соответствии со </w:t>
            </w:r>
            <w:hyperlink r:id="rId34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151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 моральный вред рассматривается как физические и нравственные страдания. Возмещению подлежит утраченный заработок (доход), который гражданин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</w:t>
            </w: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средств, подготовку к другой профессии.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Гражданское законодательство закрепляет принцип полного возмещения убытков. В соответствии с </w:t>
            </w:r>
            <w:hyperlink r:id="rId35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1 ст. 15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Это означает, что по общему правилу возмещению подлежат обе части убытков - как реальный ущерб, так и упущенная выгода.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Условия и порядок возмещения вреда, причиненного жизни и здоровью, определяются положениями </w:t>
            </w:r>
            <w:hyperlink r:id="rId36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§ 1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7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2 главы 59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РФ. Возмещение вреда по правилам </w:t>
            </w:r>
            <w:hyperlink r:id="rId38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главы 59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 производится и в тех случаях, когда вред жизни или здоровью гражданина был причинен при оказании платных медицинских услуг по договору (при исполнении договорных обязательств), если только договором не предусмотрен более высокий размер ответственности (</w:t>
            </w:r>
            <w:hyperlink r:id="rId39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1084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РФ).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Специальные правила для возмещения вреда, причиненного жизни, здоровью или имуществу гражданина (потребителя) вследствие конструктивных, рецептурных или иных недостатков услуги, а также вследствие недостоверной или недостаточной информации об услуге, предусмотрены </w:t>
            </w:r>
            <w:hyperlink r:id="rId40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§ 3 гл. 59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РФ. </w:t>
            </w:r>
            <w:proofErr w:type="gramStart"/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со </w:t>
            </w:r>
            <w:hyperlink r:id="rId41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ст. 1095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42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1097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РФ, </w:t>
            </w:r>
            <w:hyperlink r:id="rId43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3 ст. 12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44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п. 1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45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4 ст. 14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РФ "О защите прав потребителей" такой вред подлежит возмещению исполнителем услуги в полном объеме независимо от его вины (за исключением случаев, предусмотренных </w:t>
            </w:r>
            <w:hyperlink r:id="rId46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1098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РФ, </w:t>
            </w:r>
            <w:hyperlink r:id="rId47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5 ст. 14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РФ "О защите прав потребителей").</w:t>
            </w:r>
            <w:proofErr w:type="gramEnd"/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Изложенные правила применяются к тем медицинским услугам, которые могут содержать в себе скрытые недостатки и проявлять свои опасные свойства в течение установленного исполнителем срока службы: стоматологические услуги, работы по протезированию.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Для возникновения обязательства по возмещению вреда необходима совокупность условий: наличие вреда жизни или здоровью гражданина, противоправность действий (бездействия) медицинского учреждения, причинно-следственная связь между противоправным поведением и наступившим вредом, вина </w:t>
            </w:r>
            <w:proofErr w:type="spellStart"/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>причинителя</w:t>
            </w:r>
            <w:proofErr w:type="spellEnd"/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вреда (</w:t>
            </w:r>
            <w:hyperlink r:id="rId48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ст. 1064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РФ).</w:t>
            </w:r>
          </w:p>
          <w:p w:rsidR="006A4E50" w:rsidRPr="006A4E50" w:rsidRDefault="006A4E50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причинения вреда жизни и здоровью человека за счет некачественного оказания медицинской помощи одновременно причиняются физические и моральные страдания. При этом пациент теряет трудоспособность, возникают материальные затраты из-за необходимости приобретения лекарственных препаратов, лечения в стационарах. Это объясняется необходимостью возмещения материального ущерба и компенсацией морального вреда. Порядок компенсации морального вреда регулируется положениями </w:t>
            </w:r>
            <w:hyperlink r:id="rId49" w:history="1">
              <w:r w:rsidRPr="006A4E5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§ 4 гл. 59</w:t>
              </w:r>
            </w:hyperlink>
            <w:r w:rsidRPr="006A4E50">
              <w:rPr>
                <w:rFonts w:ascii="Times New Roman" w:eastAsiaTheme="minorHAnsi" w:hAnsi="Times New Roman"/>
                <w:sz w:val="24"/>
                <w:szCs w:val="24"/>
              </w:rPr>
              <w:t xml:space="preserve"> ГК РФ.</w:t>
            </w:r>
          </w:p>
          <w:p w:rsidR="00183605" w:rsidRPr="002B67D5" w:rsidRDefault="003B0A95" w:rsidP="0027150D">
            <w:pPr>
              <w:pStyle w:val="ConsPlusNormal"/>
              <w:ind w:left="317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Федеральным законом от 29.11.2010 N 326-ФЗ </w:t>
            </w:r>
            <w:r w:rsidRPr="003B0A95">
              <w:rPr>
                <w:sz w:val="24"/>
                <w:szCs w:val="24"/>
              </w:rPr>
              <w:t>"Об обязательном медицинском страховании в Российской Федерации"</w:t>
            </w:r>
            <w:r w:rsidR="00183605" w:rsidRPr="00183605">
              <w:rPr>
                <w:sz w:val="24"/>
                <w:szCs w:val="24"/>
              </w:rPr>
              <w:t xml:space="preserve"> регламентирует роль медицинских страховых организаций в защите прав пациентов. Ведь именно здесь определены механизмы возмещения вреда, объем средств на такое возмещение и субъекты, которые обязаны возмещать вред, нанесенный здоровью. Обо всем этом говорится в </w:t>
            </w:r>
            <w:hyperlink r:id="rId50" w:history="1">
              <w:r w:rsidR="00183605" w:rsidRPr="00183605">
                <w:rPr>
                  <w:color w:val="0000FF"/>
                  <w:sz w:val="24"/>
                  <w:szCs w:val="24"/>
                </w:rPr>
                <w:t>ст. ст. 28</w:t>
              </w:r>
            </w:hyperlink>
            <w:r w:rsidR="00183605" w:rsidRPr="00183605">
              <w:rPr>
                <w:sz w:val="24"/>
                <w:szCs w:val="24"/>
              </w:rPr>
              <w:t xml:space="preserve">, </w:t>
            </w:r>
            <w:hyperlink r:id="rId51" w:history="1">
              <w:r w:rsidR="00183605" w:rsidRPr="00183605">
                <w:rPr>
                  <w:color w:val="0000FF"/>
                  <w:sz w:val="24"/>
                  <w:szCs w:val="24"/>
                </w:rPr>
                <w:t>31</w:t>
              </w:r>
            </w:hyperlink>
            <w:r w:rsidR="00183605" w:rsidRPr="00183605">
              <w:rPr>
                <w:sz w:val="24"/>
                <w:szCs w:val="24"/>
              </w:rPr>
              <w:t xml:space="preserve">, </w:t>
            </w:r>
            <w:hyperlink r:id="rId52" w:history="1">
              <w:r w:rsidR="00183605" w:rsidRPr="00183605">
                <w:rPr>
                  <w:color w:val="0000FF"/>
                  <w:sz w:val="24"/>
                  <w:szCs w:val="24"/>
                </w:rPr>
                <w:t>34</w:t>
              </w:r>
            </w:hyperlink>
            <w:r w:rsidR="00183605" w:rsidRPr="00183605">
              <w:rPr>
                <w:sz w:val="24"/>
                <w:szCs w:val="24"/>
              </w:rPr>
              <w:t xml:space="preserve">, </w:t>
            </w:r>
            <w:hyperlink r:id="rId53" w:history="1">
              <w:r w:rsidR="00183605" w:rsidRPr="00183605">
                <w:rPr>
                  <w:color w:val="0000FF"/>
                  <w:sz w:val="24"/>
                  <w:szCs w:val="24"/>
                </w:rPr>
                <w:t>41</w:t>
              </w:r>
            </w:hyperlink>
            <w:r w:rsidR="00183605" w:rsidRPr="00183605">
              <w:rPr>
                <w:sz w:val="24"/>
                <w:szCs w:val="24"/>
              </w:rPr>
              <w:t xml:space="preserve"> Закона.</w:t>
            </w:r>
          </w:p>
          <w:p w:rsidR="00011E9B" w:rsidRPr="00D67C25" w:rsidRDefault="00D022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  <w:r w:rsidR="00D67C2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Право пациента на </w:t>
            </w:r>
            <w:r w:rsidR="00011E9B" w:rsidRPr="002B67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допуск к нему адвоката или </w:t>
            </w:r>
            <w:hyperlink r:id="rId54" w:history="1">
              <w:r w:rsidR="00011E9B" w:rsidRPr="002B67D5">
                <w:rPr>
                  <w:rFonts w:ascii="Times New Roman" w:eastAsiaTheme="minorHAnsi" w:hAnsi="Times New Roman"/>
                  <w:b/>
                  <w:color w:val="0000FF"/>
                  <w:sz w:val="28"/>
                  <w:szCs w:val="28"/>
                </w:rPr>
                <w:t>законного представителя</w:t>
              </w:r>
            </w:hyperlink>
            <w:r w:rsidR="00183605" w:rsidRPr="00D67C2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защиты своих прав.</w:t>
            </w:r>
          </w:p>
          <w:p w:rsidR="00183605" w:rsidRPr="002B67D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В результате нарушения прав в сфере охраны здоровья пациенты имеют право на обращение к адвокату за помощью, которая может заключаться как в предоставлении юридической консультации, так и в представлении их интересов в суде. Адвокат должен честно высказать клиенту свое мнение о вероятном исходе дела, о возможных проблемах и дать совет по их разрешению в той или иной ситуации. В случае если пациент находится в больнице в крайне тяжелом состоянии в силу своей болезни и не в состоянии лично обратиться за защитой своих прав к адвокату, по просьбе пациента должна быть предоставлена возможность допуска адвоката или законного представителя в лечебное учреждение для конфиденциальной встречи с ним. При лечении несовершеннолетних к ним должен быть обеспечен допуск законных представителей. Законными представителями являются родители, попечители или опекуны. Адвокат представляет интересы своего клиента на основании доверенности, а если речь идет об уголовном судопроизводстве - на основании ордера, который выдается адвокатским образованием. Законные представители представляют интересы своих несовершеннолетних детей без оформления специальных полномочий. Они могут для подтверждения своих полномочий предоставить паспорт, где имеется отметка о наличии детей, и свидетельство о рождении.</w:t>
            </w:r>
          </w:p>
          <w:p w:rsidR="00011E9B" w:rsidRPr="00E70AE1" w:rsidRDefault="00E70AE1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0AE1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="00D67C25" w:rsidRPr="00E70AE1">
              <w:rPr>
                <w:rFonts w:ascii="Times New Roman" w:eastAsiaTheme="minorHAnsi" w:hAnsi="Times New Roman"/>
                <w:b/>
                <w:sz w:val="28"/>
                <w:szCs w:val="28"/>
              </w:rPr>
              <w:t>. Право пациента на</w:t>
            </w:r>
            <w:r w:rsidR="00011E9B" w:rsidRPr="00E70AE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допуск к нему священнослужителя, а в случае </w:t>
            </w:r>
            <w:r w:rsidR="00011E9B" w:rsidRPr="00E70AE1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</w:r>
          </w:p>
          <w:p w:rsidR="00183605" w:rsidRPr="002B67D5" w:rsidRDefault="0018360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3605">
              <w:rPr>
                <w:rFonts w:ascii="Times New Roman" w:eastAsiaTheme="minorHAnsi" w:hAnsi="Times New Roman"/>
                <w:sz w:val="24"/>
                <w:szCs w:val="24"/>
              </w:rPr>
              <w:t>В экстренных и неотложных случаях пациент, находившийся на лечении в стационарных условиях, может изъявить желание на предсмертную подготовку или подготовку к церковным таинствам перед операцией. В связи с этим может потребоваться приглашение священнослужителя для проведения церковных обрядов и даже, при необходимости, предоставление специального помещения. Медицинские работники, должностные лица медицинской организации должны соблюсти данное право пациента. Однако не всегда медицинские работники, заведующие отделениями, осознают это право пациента и спешат его исполнять. Для реализации данного права следует конкретизировать норму путем указания на недопустимость ограничения в допуске священнослужителя к больному в случае неотложных критических состояний. При допуске к больному священнослужителя следует учитывать внутренний распорядок медицинской организации, а именно операции, лечебные процедуры.</w:t>
            </w:r>
          </w:p>
          <w:p w:rsidR="00F451CB" w:rsidRPr="00D67C25" w:rsidRDefault="00E70AE1" w:rsidP="0027150D">
            <w:pPr>
              <w:pStyle w:val="ConsPlusNormal"/>
              <w:ind w:left="317" w:right="176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02243">
              <w:rPr>
                <w:b/>
                <w:sz w:val="28"/>
                <w:szCs w:val="28"/>
              </w:rPr>
              <w:t>. Право на охрану здоровья</w:t>
            </w:r>
            <w:r w:rsidR="00F451CB" w:rsidRPr="00D67C25">
              <w:rPr>
                <w:b/>
                <w:sz w:val="28"/>
                <w:szCs w:val="28"/>
              </w:rPr>
              <w:t xml:space="preserve">.  </w:t>
            </w:r>
          </w:p>
          <w:p w:rsidR="00F451CB" w:rsidRDefault="00F451CB" w:rsidP="0027150D">
            <w:pPr>
              <w:pStyle w:val="ConsPlusNormal"/>
              <w:ind w:left="317" w:right="176" w:firstLine="540"/>
              <w:jc w:val="both"/>
              <w:rPr>
                <w:sz w:val="24"/>
                <w:szCs w:val="24"/>
              </w:rPr>
            </w:pPr>
            <w:r w:rsidRPr="00F451CB">
              <w:rPr>
                <w:sz w:val="24"/>
                <w:szCs w:val="24"/>
              </w:rPr>
              <w:t>Каждый имеет право на охрану здоровья</w:t>
            </w:r>
            <w:r>
              <w:rPr>
                <w:sz w:val="24"/>
                <w:szCs w:val="24"/>
              </w:rPr>
              <w:t xml:space="preserve">. </w:t>
            </w:r>
            <w:r w:rsidRPr="00F451CB">
              <w:rPr>
                <w:sz w:val="24"/>
                <w:szCs w:val="24"/>
              </w:rPr>
      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</w:t>
            </w:r>
            <w:r>
              <w:rPr>
                <w:sz w:val="24"/>
                <w:szCs w:val="24"/>
              </w:rPr>
              <w:t xml:space="preserve"> (п. 2)</w:t>
            </w:r>
            <w:r w:rsidRPr="00F451CB">
              <w:rPr>
                <w:sz w:val="24"/>
                <w:szCs w:val="24"/>
              </w:rPr>
              <w:t>.</w:t>
            </w:r>
          </w:p>
          <w:p w:rsidR="00F451CB" w:rsidRPr="00D67C25" w:rsidRDefault="00E70AE1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outlineLvl w:val="0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14</w:t>
            </w:r>
            <w:r w:rsidR="00D02243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. П</w:t>
            </w:r>
            <w:r w:rsidR="00D02243">
              <w:rPr>
                <w:rFonts w:ascii="Times New Roman" w:hAnsi="Times New Roman"/>
                <w:b/>
                <w:sz w:val="28"/>
                <w:szCs w:val="28"/>
              </w:rPr>
              <w:t xml:space="preserve">раво пациента либо его законного представителя </w:t>
            </w:r>
            <w:r w:rsidR="00011E9B" w:rsidRPr="00D67C25">
              <w:rPr>
                <w:rFonts w:ascii="Times New Roman" w:hAnsi="Times New Roman"/>
                <w:b/>
                <w:sz w:val="28"/>
                <w:szCs w:val="28"/>
              </w:rPr>
              <w:t xml:space="preserve"> на получение </w:t>
            </w:r>
            <w:r w:rsidR="00011E9B" w:rsidRPr="00D67C25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информации</w:t>
            </w:r>
            <w:r w:rsidR="00F451CB" w:rsidRPr="00F451CB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 xml:space="preserve">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      </w:r>
          </w:p>
          <w:p w:rsidR="00011E9B" w:rsidRDefault="00011E9B" w:rsidP="0027150D">
            <w:pPr>
              <w:pStyle w:val="ConsPlusNormal"/>
              <w:ind w:left="317" w:right="176" w:firstLine="540"/>
              <w:jc w:val="both"/>
              <w:rPr>
                <w:bCs/>
                <w:sz w:val="24"/>
                <w:szCs w:val="24"/>
              </w:rPr>
            </w:pPr>
            <w:r w:rsidRPr="00011E9B">
              <w:rPr>
                <w:bCs/>
                <w:sz w:val="24"/>
                <w:szCs w:val="24"/>
              </w:rPr>
              <w:t xml:space="preserve">Пациент либо его </w:t>
            </w:r>
            <w:hyperlink r:id="rId55" w:history="1">
              <w:r w:rsidRPr="00011E9B">
                <w:rPr>
                  <w:bCs/>
                  <w:color w:val="0000FF"/>
                  <w:sz w:val="24"/>
                  <w:szCs w:val="24"/>
                </w:rPr>
                <w:t>законный представитель</w:t>
              </w:r>
            </w:hyperlink>
            <w:r w:rsidRPr="00011E9B">
              <w:rPr>
                <w:bCs/>
                <w:sz w:val="24"/>
                <w:szCs w:val="24"/>
              </w:rPr>
      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      </w:r>
          </w:p>
          <w:p w:rsidR="00011E9B" w:rsidRPr="00011E9B" w:rsidRDefault="00011E9B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      </w:r>
            <w:hyperlink r:id="rId56" w:history="1">
              <w:r w:rsidRPr="00011E9B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части 2 статьи 54</w:t>
              </w:r>
            </w:hyperlink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      </w:r>
          </w:p>
          <w:p w:rsidR="002B67D5" w:rsidRDefault="003B0A9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Пациент ли</w:t>
            </w:r>
            <w:bookmarkStart w:id="1" w:name="_GoBack"/>
            <w:bookmarkEnd w:id="1"/>
            <w:r w:rsidRPr="00011E9B">
              <w:rPr>
                <w:rFonts w:ascii="Times New Roman" w:eastAsiaTheme="minorHAnsi" w:hAnsi="Times New Roman"/>
                <w:sz w:val="24"/>
                <w:szCs w:val="24"/>
              </w:rPr>
              <w:t>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</w:t>
            </w:r>
            <w:r w:rsidR="0027150D">
              <w:rPr>
                <w:rFonts w:ascii="Times New Roman" w:eastAsiaTheme="minorHAnsi" w:hAnsi="Times New Roman"/>
                <w:sz w:val="24"/>
                <w:szCs w:val="24"/>
              </w:rPr>
              <w:t>м органом исполнительной власти.</w:t>
            </w:r>
          </w:p>
          <w:p w:rsidR="007E5885" w:rsidRDefault="007E588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7E588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Источники: </w:t>
            </w:r>
          </w:p>
          <w:p w:rsidR="007E5885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B65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7E5885" w:rsidRPr="006E3B65">
              <w:rPr>
                <w:rFonts w:ascii="Times New Roman" w:hAnsi="Times New Roman"/>
                <w:sz w:val="24"/>
                <w:szCs w:val="24"/>
              </w:rPr>
              <w:t xml:space="preserve"> от 21.11.2011 N 323-ФЗ «Об основах охраны здоровья граждан в Российской Федерации»</w:t>
            </w:r>
            <w:r w:rsidRPr="00BB6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043">
              <w:rPr>
                <w:rFonts w:ascii="Times New Roman" w:hAnsi="Times New Roman"/>
                <w:sz w:val="24"/>
                <w:szCs w:val="24"/>
              </w:rPr>
              <w:t xml:space="preserve">// СПС </w:t>
            </w:r>
            <w:proofErr w:type="spellStart"/>
            <w:r w:rsidRPr="00BB6043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B604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B6043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43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29.11.2010 N 326-ФЗ "Об обязательном медицинском страховании в Российской Федерации" // СПС </w:t>
            </w:r>
            <w:proofErr w:type="spellStart"/>
            <w:r w:rsidRPr="00BB6043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B60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043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43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РФ от 07.02.1992 N 2300-1 "О защите прав потребителей" </w:t>
            </w:r>
            <w:r w:rsidRPr="00BB6043">
              <w:rPr>
                <w:rFonts w:ascii="Times New Roman" w:hAnsi="Times New Roman"/>
                <w:sz w:val="24"/>
                <w:szCs w:val="24"/>
              </w:rPr>
              <w:t xml:space="preserve">// СПС </w:t>
            </w:r>
            <w:proofErr w:type="spellStart"/>
            <w:r w:rsidRPr="00BB6043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B60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043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43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BB6043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43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Федерации;</w:t>
            </w:r>
          </w:p>
          <w:p w:rsidR="00BB6043" w:rsidRPr="00BB6043" w:rsidRDefault="00BB6043" w:rsidP="00BB60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6043">
              <w:rPr>
                <w:rFonts w:ascii="Times New Roman" w:hAnsi="Times New Roman"/>
                <w:sz w:val="24"/>
                <w:szCs w:val="24"/>
              </w:rPr>
              <w:t xml:space="preserve">Грачева Т.Ю., </w:t>
            </w:r>
            <w:proofErr w:type="spellStart"/>
            <w:r w:rsidRPr="00BB6043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BB6043">
              <w:rPr>
                <w:rFonts w:ascii="Times New Roman" w:hAnsi="Times New Roman"/>
                <w:sz w:val="24"/>
                <w:szCs w:val="24"/>
              </w:rPr>
              <w:t xml:space="preserve"> В.В., Корнеева О.В., Вахрушева Ю.Н. Комментарий к Федеральному </w:t>
            </w:r>
            <w:r w:rsidRPr="00BB6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закону от 21 ноября 2011 г. N 323-ФЗ "Об основах охраны здоровья граждан в Российской Федерации" (постатейный) // СПС </w:t>
            </w:r>
            <w:proofErr w:type="spellStart"/>
            <w:r w:rsidRPr="00BB6043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B6043">
              <w:rPr>
                <w:rFonts w:ascii="Times New Roman" w:hAnsi="Times New Roman"/>
                <w:sz w:val="24"/>
                <w:szCs w:val="24"/>
              </w:rPr>
              <w:t>. 2014.</w:t>
            </w:r>
          </w:p>
          <w:p w:rsidR="00BB6043" w:rsidRPr="00BB6043" w:rsidRDefault="00BB6043" w:rsidP="00BB6043">
            <w:pPr>
              <w:pStyle w:val="ConsPlusNormal"/>
              <w:ind w:left="540"/>
              <w:jc w:val="both"/>
              <w:rPr>
                <w:sz w:val="24"/>
                <w:szCs w:val="24"/>
              </w:rPr>
            </w:pPr>
          </w:p>
          <w:p w:rsidR="00BB6043" w:rsidRDefault="00BB6043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5885" w:rsidRDefault="007E5885" w:rsidP="0027150D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6043" w:rsidRDefault="00BB6043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5885" w:rsidRPr="0027150D" w:rsidRDefault="007E5885" w:rsidP="007E5885">
            <w:pPr>
              <w:autoSpaceDE w:val="0"/>
              <w:autoSpaceDN w:val="0"/>
              <w:adjustRightInd w:val="0"/>
              <w:spacing w:after="0" w:line="240" w:lineRule="auto"/>
              <w:ind w:left="317" w:right="176" w:firstLine="54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Подготовила: Начальник юридического отдела Ефимова Д.С.</w:t>
            </w:r>
          </w:p>
        </w:tc>
      </w:tr>
      <w:tr w:rsidR="00C5318E" w:rsidTr="0027150D">
        <w:trPr>
          <w:trHeight w:val="13287"/>
        </w:trPr>
        <w:tc>
          <w:tcPr>
            <w:tcW w:w="10774" w:type="dxa"/>
          </w:tcPr>
          <w:p w:rsidR="00C5318E" w:rsidRPr="00A97C2B" w:rsidRDefault="00C5318E" w:rsidP="003063DF">
            <w:pPr>
              <w:tabs>
                <w:tab w:val="left" w:pos="5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DFA" w:rsidRPr="00E92DFA" w:rsidRDefault="00E92DFA" w:rsidP="00506FD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92DFA" w:rsidRPr="00E92DFA" w:rsidSect="008218FA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1EF"/>
    <w:multiLevelType w:val="hybridMultilevel"/>
    <w:tmpl w:val="FE222C20"/>
    <w:lvl w:ilvl="0" w:tplc="D4A683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D917AD1"/>
    <w:multiLevelType w:val="hybridMultilevel"/>
    <w:tmpl w:val="188295F8"/>
    <w:lvl w:ilvl="0" w:tplc="CF62A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7A00"/>
    <w:multiLevelType w:val="hybridMultilevel"/>
    <w:tmpl w:val="D2FEE300"/>
    <w:lvl w:ilvl="0" w:tplc="24BA6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1092"/>
    <w:multiLevelType w:val="hybridMultilevel"/>
    <w:tmpl w:val="0414F490"/>
    <w:lvl w:ilvl="0" w:tplc="3D16F31C">
      <w:start w:val="1"/>
      <w:numFmt w:val="decimal"/>
      <w:lvlText w:val="%1."/>
      <w:lvlJc w:val="left"/>
      <w:pPr>
        <w:ind w:left="1667" w:hanging="810"/>
      </w:pPr>
      <w:rPr>
        <w:rFonts w:ascii="Times New Roman" w:eastAsiaTheme="minorHAns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46E34224"/>
    <w:multiLevelType w:val="hybridMultilevel"/>
    <w:tmpl w:val="79D436C6"/>
    <w:lvl w:ilvl="0" w:tplc="F81862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5A974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65A75"/>
    <w:multiLevelType w:val="hybridMultilevel"/>
    <w:tmpl w:val="8E7CA8E6"/>
    <w:lvl w:ilvl="0" w:tplc="5BE269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A784646"/>
    <w:multiLevelType w:val="hybridMultilevel"/>
    <w:tmpl w:val="ACA847F0"/>
    <w:lvl w:ilvl="0" w:tplc="EC7C1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84539D"/>
    <w:multiLevelType w:val="hybridMultilevel"/>
    <w:tmpl w:val="E5E40E96"/>
    <w:lvl w:ilvl="0" w:tplc="C1489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A"/>
    <w:rsid w:val="00011E9B"/>
    <w:rsid w:val="00051089"/>
    <w:rsid w:val="001262C7"/>
    <w:rsid w:val="00183605"/>
    <w:rsid w:val="001A3F4B"/>
    <w:rsid w:val="001E000F"/>
    <w:rsid w:val="002559D8"/>
    <w:rsid w:val="0027150D"/>
    <w:rsid w:val="002B67D5"/>
    <w:rsid w:val="002E4F3F"/>
    <w:rsid w:val="003063DF"/>
    <w:rsid w:val="00350F3B"/>
    <w:rsid w:val="003B0A95"/>
    <w:rsid w:val="004378CC"/>
    <w:rsid w:val="00443F34"/>
    <w:rsid w:val="00506FD0"/>
    <w:rsid w:val="00532038"/>
    <w:rsid w:val="00557668"/>
    <w:rsid w:val="005673BC"/>
    <w:rsid w:val="00636956"/>
    <w:rsid w:val="00653E40"/>
    <w:rsid w:val="006712FE"/>
    <w:rsid w:val="006A4E50"/>
    <w:rsid w:val="006B2DDA"/>
    <w:rsid w:val="006D4694"/>
    <w:rsid w:val="006E3B65"/>
    <w:rsid w:val="007952D7"/>
    <w:rsid w:val="007E5885"/>
    <w:rsid w:val="00820612"/>
    <w:rsid w:val="008218FA"/>
    <w:rsid w:val="008826AA"/>
    <w:rsid w:val="008A2718"/>
    <w:rsid w:val="0091776B"/>
    <w:rsid w:val="00926CC4"/>
    <w:rsid w:val="009C493E"/>
    <w:rsid w:val="00A97C2B"/>
    <w:rsid w:val="00AD1EBC"/>
    <w:rsid w:val="00B97A19"/>
    <w:rsid w:val="00BB6043"/>
    <w:rsid w:val="00C5318E"/>
    <w:rsid w:val="00D02243"/>
    <w:rsid w:val="00D67C25"/>
    <w:rsid w:val="00DA2C24"/>
    <w:rsid w:val="00E5630C"/>
    <w:rsid w:val="00E70AE1"/>
    <w:rsid w:val="00E92DFA"/>
    <w:rsid w:val="00F008C0"/>
    <w:rsid w:val="00F451CB"/>
    <w:rsid w:val="00F84711"/>
    <w:rsid w:val="00FF0BAE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0D5EF0EF0D60EB56460A29384B7B8D7C234F816CE8F8E1CA1E2D28B4C81424787CD46484E584VCS1L" TargetMode="External"/><Relationship Id="rId18" Type="http://schemas.openxmlformats.org/officeDocument/2006/relationships/hyperlink" Target="consultantplus://offline/ref=034CAD9B0D948AB924EFFC91080F4C0E2B154D49D06DA55617A97BFFC20D74B82A2F6FC3D25D904850F2L" TargetMode="External"/><Relationship Id="rId26" Type="http://schemas.openxmlformats.org/officeDocument/2006/relationships/hyperlink" Target="consultantplus://offline/ref=C6AC94FFADD626CDB307A52B8411D5C3E466AD5F815883AB81E1F50C0072AB134F594B8FB5401B95h0dFL" TargetMode="External"/><Relationship Id="rId39" Type="http://schemas.openxmlformats.org/officeDocument/2006/relationships/hyperlink" Target="consultantplus://offline/ref=598C0B7A206D1920FAA9A539064417E55E752C92890EA76839F9AEC2397B059177D250A59FA00724gFeFL" TargetMode="External"/><Relationship Id="rId21" Type="http://schemas.openxmlformats.org/officeDocument/2006/relationships/hyperlink" Target="consultantplus://offline/ref=034CAD9B0D948AB924EFFC91080F4C0E2B154D49D06DA55617A97BFFC20D74B82A2F6FC3D25D954950F3L" TargetMode="External"/><Relationship Id="rId34" Type="http://schemas.openxmlformats.org/officeDocument/2006/relationships/hyperlink" Target="consultantplus://offline/ref=6FB9EB159A79E3721AE65ACFCA8F9CB1E516F6739839B999B66DC59A9D8AD076505F740D7FR6e7L" TargetMode="External"/><Relationship Id="rId42" Type="http://schemas.openxmlformats.org/officeDocument/2006/relationships/hyperlink" Target="consultantplus://offline/ref=598C0B7A206D1920FAA9A539064417E55E752C92890EA76839F9AEC2397B059177D250A59FA00628gFe5L" TargetMode="External"/><Relationship Id="rId47" Type="http://schemas.openxmlformats.org/officeDocument/2006/relationships/hyperlink" Target="consultantplus://offline/ref=598C0B7A206D1920FAA9A539064417E55E762C938F0CA76839F9AEC2397B059177D250A59FA2002CgFe9L" TargetMode="External"/><Relationship Id="rId50" Type="http://schemas.openxmlformats.org/officeDocument/2006/relationships/hyperlink" Target="consultantplus://offline/ref=034CAD9B0D948AB924EFFC91080F4C0E2B154D45DE6BA55617A97BFFC20D74B82A2F6FC3D25D914150FBL" TargetMode="External"/><Relationship Id="rId55" Type="http://schemas.openxmlformats.org/officeDocument/2006/relationships/hyperlink" Target="consultantplus://offline/ref=B53B5C4835FD56C51A632F2EF5AF30F2D68247797FAA426C167356CE136AFC45D4BE6D35C824ADb200K" TargetMode="External"/><Relationship Id="rId7" Type="http://schemas.openxmlformats.org/officeDocument/2006/relationships/image" Target="media/image1.tiff"/><Relationship Id="rId12" Type="http://schemas.openxmlformats.org/officeDocument/2006/relationships/hyperlink" Target="consultantplus://offline/ref=ED0D5EF0EF0D60EB56460A29384B7B8D7422488164EBA5EBC247212AB3C74B337F35D86584E585C5V8SDL" TargetMode="External"/><Relationship Id="rId17" Type="http://schemas.openxmlformats.org/officeDocument/2006/relationships/hyperlink" Target="consultantplus://offline/ref=034CAD9B0D948AB924EFFC91080F4C0E2B154D49D06DA55617A97BFFC20D74B82A2F6FC3D25D904250F7L" TargetMode="External"/><Relationship Id="rId25" Type="http://schemas.openxmlformats.org/officeDocument/2006/relationships/hyperlink" Target="consultantplus://offline/ref=C6AC94FFADD626CDB307A52B8411D5C3E466AD5F815883AB81E1F50C0072AB134F594B8FB147h1d9L" TargetMode="External"/><Relationship Id="rId33" Type="http://schemas.openxmlformats.org/officeDocument/2006/relationships/hyperlink" Target="consultantplus://offline/ref=C6AC94FFADD626CDB307A52B8411D5C3E465A956825983AB81E1F50C0072AB134F594B8FB5401C92h0d5L" TargetMode="External"/><Relationship Id="rId38" Type="http://schemas.openxmlformats.org/officeDocument/2006/relationships/hyperlink" Target="consultantplus://offline/ref=598C0B7A206D1920FAA9A539064417E55E752C92890EA76839F9AEC2397B059177D250A59FA0072CgFe9L" TargetMode="External"/><Relationship Id="rId46" Type="http://schemas.openxmlformats.org/officeDocument/2006/relationships/hyperlink" Target="consultantplus://offline/ref=598C0B7A206D1920FAA9A539064417E55E752C92890EA76839F9AEC2397B059177D250A59FA00629gFe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4CAD9B0D948AB924EFFC91080F4C0E2B154840D56AA55617A97BFFC20D74B82A2F6FC3D25F954450F7L" TargetMode="External"/><Relationship Id="rId20" Type="http://schemas.openxmlformats.org/officeDocument/2006/relationships/hyperlink" Target="consultantplus://offline/ref=034CAD9B0D948AB924EFFC91080F4C0E2B154D49D06DA55617A97BFFC20D74B82A2F6FC3D25D944050F5L" TargetMode="External"/><Relationship Id="rId29" Type="http://schemas.openxmlformats.org/officeDocument/2006/relationships/hyperlink" Target="consultantplus://offline/ref=C6AC94FFADD626CDB307A52B8411D5C3E465A957835C83AB81E1F50C0072AB134F594B8FB5411491h0d6L" TargetMode="External"/><Relationship Id="rId41" Type="http://schemas.openxmlformats.org/officeDocument/2006/relationships/hyperlink" Target="consultantplus://offline/ref=598C0B7A206D1920FAA9A539064417E55E752C92890EA76839F9AEC2397B059177D250A59FA00628gFeCL" TargetMode="External"/><Relationship Id="rId54" Type="http://schemas.openxmlformats.org/officeDocument/2006/relationships/hyperlink" Target="consultantplus://offline/ref=FD2F717D95A0D2AADDDA25A5CCE925F5C1D06492AC23D38C1A0AB42F50F33F878263FAF42DF94AfEl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4A7BCEFD1E2499FE2464AA5B8BAE3CC0632FE14D31B60EC529A434BC9L" TargetMode="External"/><Relationship Id="rId24" Type="http://schemas.openxmlformats.org/officeDocument/2006/relationships/hyperlink" Target="consultantplus://offline/ref=C6AC94FFADD626CDB307A52B8411D5C3E466AD5F815883AB81E1F50C0072AB134F594B8FB5401B96h0d5L" TargetMode="External"/><Relationship Id="rId32" Type="http://schemas.openxmlformats.org/officeDocument/2006/relationships/hyperlink" Target="consultantplus://offline/ref=C6AC94FFADD626CDB307A52B8411D5C3E465A956825983AB81E1F50C0072AB134F594B8FB5401D9Ah0d3L" TargetMode="External"/><Relationship Id="rId37" Type="http://schemas.openxmlformats.org/officeDocument/2006/relationships/hyperlink" Target="consultantplus://offline/ref=598C0B7A206D1920FAA9A539064417E55E752C92890EA76839F9AEC2397B059177D250A59FA00724gFeCL" TargetMode="External"/><Relationship Id="rId40" Type="http://schemas.openxmlformats.org/officeDocument/2006/relationships/hyperlink" Target="consultantplus://offline/ref=598C0B7A206D1920FAA9A539064417E55E752C92890EA76839F9AEC2397B059177D250A59FA00628gFeDL" TargetMode="External"/><Relationship Id="rId45" Type="http://schemas.openxmlformats.org/officeDocument/2006/relationships/hyperlink" Target="consultantplus://offline/ref=598C0B7A206D1920FAA9A539064417E55E762C938F0CA76839F9AEC2397B059177D250A59FA2002CgFeEL" TargetMode="External"/><Relationship Id="rId53" Type="http://schemas.openxmlformats.org/officeDocument/2006/relationships/hyperlink" Target="consultantplus://offline/ref=034CAD9B0D948AB924EFFC91080F4C0E2B154D45DE6BA55617A97BFFC20D74B82A2F6FC3D25D974250F3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4CAD9B0D948AB924EFFC91080F4C0E2B154840D56AA55617A97BFFC20D74B82A2F6FC3D25F944950F3L" TargetMode="External"/><Relationship Id="rId23" Type="http://schemas.openxmlformats.org/officeDocument/2006/relationships/hyperlink" Target="consultantplus://offline/ref=C6AC94FFADD626CDB307A52B8411D5C3E466AD5F815883AB81E1F50C0072AB134F594B8FB5401B90h0d2L" TargetMode="External"/><Relationship Id="rId28" Type="http://schemas.openxmlformats.org/officeDocument/2006/relationships/hyperlink" Target="consultantplus://offline/ref=C6AC94FFADD626CDB307A52B8411D5C3E465A957835C83AB81E1F50C0072AB134F594B8FB5411492h0dFL" TargetMode="External"/><Relationship Id="rId36" Type="http://schemas.openxmlformats.org/officeDocument/2006/relationships/hyperlink" Target="consultantplus://offline/ref=598C0B7A206D1920FAA9A539064417E55E752C92890EA76839F9AEC2397B059177D250A59FA0072CgFe8L" TargetMode="External"/><Relationship Id="rId49" Type="http://schemas.openxmlformats.org/officeDocument/2006/relationships/hyperlink" Target="consultantplus://offline/ref=598C0B7A206D1920FAA9A539064417E55E752C92890EA76839F9AEC2397B059177D250A59FA00629gFe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1B177310D676345DFA0DC6692F36C08FDD932A6880CF8F61E0CA7290EqB5CK" TargetMode="External"/><Relationship Id="rId19" Type="http://schemas.openxmlformats.org/officeDocument/2006/relationships/hyperlink" Target="consultantplus://offline/ref=034CAD9B0D948AB924EFFC91080F4C0E2B154D49D06DA55617A97BFFC20D74B82A2F6FC3D25D974350F1L" TargetMode="External"/><Relationship Id="rId31" Type="http://schemas.openxmlformats.org/officeDocument/2006/relationships/hyperlink" Target="consultantplus://offline/ref=C6AC94FFADD626CDB307A52B8411D5C3E466A957845B83AB81E1F50C0072AB134F594B8FB5421A95h0d0L" TargetMode="External"/><Relationship Id="rId44" Type="http://schemas.openxmlformats.org/officeDocument/2006/relationships/hyperlink" Target="consultantplus://offline/ref=598C0B7A206D1920FAA9A539064417E55E762C938F0CA76839F9AEC2397B059177D250A59FA20125gFeBL" TargetMode="External"/><Relationship Id="rId52" Type="http://schemas.openxmlformats.org/officeDocument/2006/relationships/hyperlink" Target="consultantplus://offline/ref=034CAD9B0D948AB924EFFC91080F4C0E2B154D45DE6BA55617A97BFFC20D74B82A2F6FC3D25D914650F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2F717D95A0D2AADDDA25A5CCE925F5C9DC6B91AD298E861253B82D57fFlCK" TargetMode="External"/><Relationship Id="rId14" Type="http://schemas.openxmlformats.org/officeDocument/2006/relationships/hyperlink" Target="consultantplus://offline/ref=034CAD9B0D948AB924EFFC91080F4C0E2B154D49D06DA55617A97BFFC20D74B82A2F6FC3D25D904550FBL" TargetMode="External"/><Relationship Id="rId22" Type="http://schemas.openxmlformats.org/officeDocument/2006/relationships/hyperlink" Target="consultantplus://offline/ref=C6AC94FFADD626CDB307A52B8411D5C3E466AD5F815883AB81E1F50C0072AB134F594B8FB5421997h0d1L" TargetMode="External"/><Relationship Id="rId27" Type="http://schemas.openxmlformats.org/officeDocument/2006/relationships/hyperlink" Target="consultantplus://offline/ref=C6AC94FFADD626CDB307A52B8411D5C3E466AD5F815883AB81E1F50C0072AB134F594B8FB147h1d4L" TargetMode="External"/><Relationship Id="rId30" Type="http://schemas.openxmlformats.org/officeDocument/2006/relationships/hyperlink" Target="consultantplus://offline/ref=C6AC94FFADD626CDB307A52B8411D5C3E466A957845B83AB81E1F50C0072AB134F594B8FB5421B93h0d0L" TargetMode="External"/><Relationship Id="rId35" Type="http://schemas.openxmlformats.org/officeDocument/2006/relationships/hyperlink" Target="consultantplus://offline/ref=598C0B7A206D1920FAA9A539064417E55E762C928E09A76839F9AEC2397B059177D250A59FA20125gFeFL" TargetMode="External"/><Relationship Id="rId43" Type="http://schemas.openxmlformats.org/officeDocument/2006/relationships/hyperlink" Target="consultantplus://offline/ref=598C0B7A206D1920FAA9A539064417E55E762C938F0CA76839F9AEC2397B059177D250A59FA20124gFe8L" TargetMode="External"/><Relationship Id="rId48" Type="http://schemas.openxmlformats.org/officeDocument/2006/relationships/hyperlink" Target="consultantplus://offline/ref=598C0B7A206D1920FAA9A539064417E55E752C92890EA76839F9AEC2397B059177D250A59FA0072CgFeBL" TargetMode="External"/><Relationship Id="rId56" Type="http://schemas.openxmlformats.org/officeDocument/2006/relationships/hyperlink" Target="consultantplus://offline/ref=25B40AE317E949302C10AEA94DC0147CB20034668A7E02264DE10FA24750212E142450A0BD03460CQD1EK" TargetMode="External"/><Relationship Id="rId8" Type="http://schemas.openxmlformats.org/officeDocument/2006/relationships/hyperlink" Target="consultantplus://offline/ref=0382EE6AD0CDD2F98D91CFB5FEB458E7A69226D311E6C833845E898BC40497FEEEBC15F762F46E69n7v6K" TargetMode="External"/><Relationship Id="rId51" Type="http://schemas.openxmlformats.org/officeDocument/2006/relationships/hyperlink" Target="consultantplus://offline/ref=034CAD9B0D948AB924EFFC91080F4C0E2B154D45DE6BA55617A97BFFC20D74B82A2F6FC3D25D914250F4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2597-0FAD-4B0B-BD20-36809A24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2016-03-15T11:00:00Z</cp:lastPrinted>
  <dcterms:created xsi:type="dcterms:W3CDTF">2016-03-15T11:44:00Z</dcterms:created>
  <dcterms:modified xsi:type="dcterms:W3CDTF">2016-03-15T12:04:00Z</dcterms:modified>
</cp:coreProperties>
</file>